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78CA2" w14:textId="66320EB6" w:rsidR="00FE66D1" w:rsidRPr="00FE66D1" w:rsidRDefault="00FE66D1" w:rsidP="00FE66D1">
      <w:pPr>
        <w:spacing w:after="144"/>
        <w:outlineLvl w:val="3"/>
        <w:rPr>
          <w:rFonts w:ascii="Avenir LT W01 65 Medium" w:eastAsia="Times New Roman" w:hAnsi="Avenir LT W01 65 Medium" w:cs="Times New Roman"/>
          <w:b/>
          <w:bCs/>
          <w:color w:val="222222"/>
          <w:sz w:val="30"/>
          <w:szCs w:val="30"/>
        </w:rPr>
      </w:pPr>
      <w:r w:rsidRPr="00ED2385">
        <w:rPr>
          <w:rFonts w:ascii="Avenir LT W01 65 Medium" w:eastAsia="Times New Roman" w:hAnsi="Avenir LT W01 65 Medium" w:cs="Times New Roman"/>
          <w:b/>
          <w:bCs/>
          <w:color w:val="222222"/>
          <w:sz w:val="30"/>
          <w:szCs w:val="30"/>
          <w:highlight w:val="yellow"/>
        </w:rPr>
        <w:t>Response Guidelines</w:t>
      </w:r>
      <w:r w:rsidR="00ED2385" w:rsidRPr="00ED2385">
        <w:rPr>
          <w:rFonts w:ascii="Avenir LT W01 65 Medium" w:eastAsia="Times New Roman" w:hAnsi="Avenir LT W01 65 Medium" w:cs="Times New Roman"/>
          <w:b/>
          <w:bCs/>
          <w:color w:val="222222"/>
          <w:sz w:val="30"/>
          <w:szCs w:val="30"/>
          <w:highlight w:val="yellow"/>
        </w:rPr>
        <w:t xml:space="preserve"> AA</w:t>
      </w:r>
    </w:p>
    <w:p w14:paraId="296B5906" w14:textId="77777777" w:rsidR="00ED2385" w:rsidRPr="006E70ED" w:rsidRDefault="00ED2385" w:rsidP="00ED2385">
      <w:pPr>
        <w:spacing w:after="240"/>
        <w:rPr>
          <w:rFonts w:ascii="Arial" w:hAnsi="Arial" w:cs="Arial"/>
          <w:color w:val="222222"/>
          <w:sz w:val="26"/>
          <w:szCs w:val="26"/>
          <w:highlight w:val="yellow"/>
        </w:rPr>
      </w:pPr>
      <w:r w:rsidRPr="006E70ED">
        <w:rPr>
          <w:rFonts w:ascii="Arial" w:hAnsi="Arial" w:cs="Arial"/>
          <w:color w:val="222222"/>
          <w:sz w:val="26"/>
          <w:szCs w:val="26"/>
          <w:highlight w:val="yellow"/>
        </w:rPr>
        <w:t xml:space="preserve">Provide substantive comments to the posts </w:t>
      </w:r>
      <w:r>
        <w:rPr>
          <w:rFonts w:ascii="Arial" w:hAnsi="Arial" w:cs="Arial"/>
          <w:color w:val="222222"/>
          <w:sz w:val="26"/>
          <w:szCs w:val="26"/>
          <w:highlight w:val="yellow"/>
        </w:rPr>
        <w:t>below</w:t>
      </w:r>
      <w:r w:rsidRPr="006E70ED">
        <w:rPr>
          <w:rFonts w:ascii="Arial" w:hAnsi="Arial" w:cs="Arial"/>
          <w:color w:val="222222"/>
          <w:sz w:val="26"/>
          <w:szCs w:val="26"/>
          <w:highlight w:val="yellow"/>
        </w:rPr>
        <w:t>, comparing their perspectives to yours. Ask any question that will help you better understand their perspectives and move the discussion forward.</w:t>
      </w:r>
    </w:p>
    <w:p w14:paraId="16430D27" w14:textId="77777777" w:rsidR="00ED2385" w:rsidRPr="006E70ED" w:rsidRDefault="00ED2385" w:rsidP="00ED2385">
      <w:pPr>
        <w:rPr>
          <w:rFonts w:ascii="Arial" w:eastAsia="Times New Roman" w:hAnsi="Arial" w:cs="Arial"/>
        </w:rPr>
      </w:pPr>
      <w:r w:rsidRPr="006E70ED">
        <w:rPr>
          <w:rFonts w:ascii="Arial" w:eastAsia="Times New Roman" w:hAnsi="Arial" w:cs="Arial"/>
          <w:color w:val="222222"/>
          <w:sz w:val="26"/>
          <w:szCs w:val="26"/>
          <w:highlight w:val="yellow"/>
          <w:shd w:val="clear" w:color="auto" w:fill="FFFFFF"/>
        </w:rPr>
        <w:t>Your response must be a minimum of 200 words in length. Include at least two APA-formatted citation (in-text, as well as the full reference). The citation may be from course textbooks, assigned readings, or an outside source.</w:t>
      </w:r>
    </w:p>
    <w:p w14:paraId="5F2C9E52" w14:textId="77777777" w:rsidR="00C4380D" w:rsidRDefault="00ED2385"/>
    <w:p w14:paraId="2FA8C30A" w14:textId="77777777" w:rsidR="00ED2385" w:rsidRDefault="00ED2385"/>
    <w:p w14:paraId="784F25FB" w14:textId="77777777" w:rsidR="00ED2385" w:rsidRDefault="00ED2385"/>
    <w:p w14:paraId="1DBD0A4B" w14:textId="77777777" w:rsidR="00ED2385" w:rsidRPr="00ED2385" w:rsidRDefault="00ED2385" w:rsidP="00ED2385">
      <w:pPr>
        <w:spacing w:line="383" w:lineRule="atLeast"/>
        <w:ind w:firstLine="720"/>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In the article “Effectiveness of the therapeutic conversation intervention among caregivers of people with eating disorders: quasi-experimental design” by Gisladottir et al (2016).  The aim of the study was to evaluate the effectiveness of therapeutic conversation intervention in group and caregiver sessions on the supporting role of caregivers.  The therapeutic conversation intervention consisted of five group and caregiver sessions and three booster sessions. </w:t>
      </w:r>
    </w:p>
    <w:p w14:paraId="7840AF31" w14:textId="77777777" w:rsidR="00ED2385" w:rsidRPr="00ED2385" w:rsidRDefault="00ED2385" w:rsidP="00ED2385">
      <w:pPr>
        <w:spacing w:line="383" w:lineRule="atLeast"/>
        <w:ind w:firstLine="720"/>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The content of the intervention consisted of work on difficult behaviors, feelings and helpful strategies.  The study had a quasi-experimental design with one pre- and two post-test measures.  </w:t>
      </w:r>
    </w:p>
    <w:p w14:paraId="648DE3BC" w14:textId="77777777" w:rsidR="00ED2385" w:rsidRPr="00ED2385" w:rsidRDefault="00ED2385" w:rsidP="00ED2385">
      <w:pPr>
        <w:spacing w:line="383" w:lineRule="atLeast"/>
        <w:ind w:firstLine="720"/>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The framework that has been used in this article is Health Belief Model (HBM), the health belief model proposes that a person’s health-related behavior depends on the person’s perception of four critical areas: the severity of potential illness, the person’s susceptibility to that illness, the benefits of taking a preventative action, and the barriers to taking that action (N.a, 2017). </w:t>
      </w:r>
    </w:p>
    <w:p w14:paraId="326683BB" w14:textId="77777777" w:rsidR="00ED2385" w:rsidRPr="00ED2385" w:rsidRDefault="00ED2385" w:rsidP="00ED2385">
      <w:pPr>
        <w:spacing w:line="383" w:lineRule="atLeast"/>
        <w:ind w:firstLine="720"/>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This study utilizes quasi-experimental research; quasi-experimental research examines the causes of relationship or determines the effect of one variable on another.  Quasi-experimental research involves implementing a treatment and examining the effects of the treatment using select methods of measurement.  There is a lack of certain control over the manipulation of the treatment, the setting, and the subject selection (Valdez, 2017).  </w:t>
      </w:r>
    </w:p>
    <w:p w14:paraId="21D86E02" w14:textId="77777777" w:rsidR="00ED2385" w:rsidRPr="00ED2385" w:rsidRDefault="00ED2385" w:rsidP="00ED2385">
      <w:pPr>
        <w:spacing w:line="383" w:lineRule="atLeast"/>
        <w:ind w:firstLine="720"/>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Positive aspect of quasi-experimental research is effective when conducting true experiments, dealing with human subjects, and no randomization.  Weakness is a threat to internal validity, selection bias, history and maturation effect (Rees et al., 2016). </w:t>
      </w:r>
    </w:p>
    <w:p w14:paraId="4114F7B0" w14:textId="77777777" w:rsidR="00ED2385" w:rsidRDefault="00ED2385" w:rsidP="00ED2385">
      <w:pPr>
        <w:spacing w:line="383" w:lineRule="atLeast"/>
        <w:jc w:val="center"/>
        <w:rPr>
          <w:rFonts w:ascii="Times New Roman" w:hAnsi="Times New Roman" w:cs="Times New Roman"/>
          <w:color w:val="222222"/>
          <w:bdr w:val="none" w:sz="0" w:space="0" w:color="auto" w:frame="1"/>
        </w:rPr>
      </w:pPr>
    </w:p>
    <w:p w14:paraId="5C6EFEAA" w14:textId="77777777" w:rsidR="00ED2385" w:rsidRDefault="00ED2385" w:rsidP="00ED2385">
      <w:pPr>
        <w:spacing w:line="383" w:lineRule="atLeast"/>
        <w:jc w:val="center"/>
        <w:rPr>
          <w:rFonts w:ascii="Times New Roman" w:hAnsi="Times New Roman" w:cs="Times New Roman"/>
          <w:color w:val="222222"/>
          <w:bdr w:val="none" w:sz="0" w:space="0" w:color="auto" w:frame="1"/>
        </w:rPr>
      </w:pPr>
    </w:p>
    <w:p w14:paraId="292CB6E5" w14:textId="77777777" w:rsidR="00ED2385" w:rsidRDefault="00ED2385" w:rsidP="00ED2385">
      <w:pPr>
        <w:spacing w:line="383" w:lineRule="atLeast"/>
        <w:jc w:val="center"/>
        <w:rPr>
          <w:rFonts w:ascii="Times New Roman" w:hAnsi="Times New Roman" w:cs="Times New Roman"/>
          <w:color w:val="222222"/>
          <w:bdr w:val="none" w:sz="0" w:space="0" w:color="auto" w:frame="1"/>
        </w:rPr>
      </w:pPr>
    </w:p>
    <w:p w14:paraId="07010ABD" w14:textId="77777777" w:rsidR="00ED2385" w:rsidRPr="00ED2385" w:rsidRDefault="00ED2385" w:rsidP="00ED2385">
      <w:pPr>
        <w:spacing w:line="383" w:lineRule="atLeast"/>
        <w:jc w:val="center"/>
        <w:rPr>
          <w:rFonts w:ascii="Avenir LT W02 55 Roman" w:hAnsi="Avenir LT W02 55 Roman" w:cs="Times New Roman"/>
          <w:color w:val="222222"/>
          <w:sz w:val="26"/>
          <w:szCs w:val="26"/>
        </w:rPr>
      </w:pPr>
      <w:bookmarkStart w:id="0" w:name="_GoBack"/>
      <w:bookmarkEnd w:id="0"/>
      <w:r w:rsidRPr="00ED2385">
        <w:rPr>
          <w:rFonts w:ascii="Times New Roman" w:hAnsi="Times New Roman" w:cs="Times New Roman"/>
          <w:color w:val="222222"/>
          <w:bdr w:val="none" w:sz="0" w:space="0" w:color="auto" w:frame="1"/>
        </w:rPr>
        <w:t>References</w:t>
      </w:r>
    </w:p>
    <w:p w14:paraId="4E059720" w14:textId="77777777" w:rsidR="00ED2385" w:rsidRPr="00ED2385" w:rsidRDefault="00ED2385" w:rsidP="00ED2385">
      <w:pPr>
        <w:spacing w:line="383" w:lineRule="atLeast"/>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Gisladottir, M., Treasure, J., &amp; Svavarsdottir, E. (2016).  Effectiveness of therapeutic </w:t>
      </w:r>
    </w:p>
    <w:p w14:paraId="478395BE" w14:textId="77777777" w:rsidR="00ED2385" w:rsidRPr="00ED2385" w:rsidRDefault="00ED2385" w:rsidP="00ED2385">
      <w:pPr>
        <w:spacing w:line="383" w:lineRule="atLeast"/>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            conversation intervention among caregivers of people with eating disorders: </w:t>
      </w:r>
    </w:p>
    <w:p w14:paraId="1E14822D" w14:textId="77777777" w:rsidR="00ED2385" w:rsidRPr="00ED2385" w:rsidRDefault="00ED2385" w:rsidP="00ED2385">
      <w:pPr>
        <w:spacing w:line="383" w:lineRule="atLeast"/>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            quasi-experimental design.  Journal of Clinical Nursing 26, 735-750.</w:t>
      </w:r>
    </w:p>
    <w:p w14:paraId="13D2BE42" w14:textId="77777777" w:rsidR="00ED2385" w:rsidRPr="00ED2385" w:rsidRDefault="00ED2385" w:rsidP="00ED2385">
      <w:pPr>
        <w:spacing w:line="383" w:lineRule="atLeast"/>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N. a (2017).  Nursing Theories: Health Belief Model.  Retrieved from </w:t>
      </w:r>
      <w:hyperlink r:id="rId4" w:history="1">
        <w:r w:rsidRPr="00ED2385">
          <w:rPr>
            <w:rFonts w:ascii="Times New Roman" w:hAnsi="Times New Roman" w:cs="Times New Roman"/>
            <w:color w:val="1874A4"/>
            <w:u w:val="single"/>
            <w:bdr w:val="none" w:sz="0" w:space="0" w:color="auto" w:frame="1"/>
          </w:rPr>
          <w:t>www.currentnursing.com</w:t>
        </w:r>
      </w:hyperlink>
    </w:p>
    <w:p w14:paraId="16D9AF83" w14:textId="77777777" w:rsidR="00ED2385" w:rsidRPr="00ED2385" w:rsidRDefault="00ED2385" w:rsidP="00ED2385">
      <w:pPr>
        <w:spacing w:line="383" w:lineRule="atLeast"/>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Rees, G. &amp; Glasper, J. (2016).  Nursing and healthcare research at a glance.  Retrieved from</w:t>
      </w:r>
    </w:p>
    <w:p w14:paraId="382EFDA5" w14:textId="77777777" w:rsidR="00ED2385" w:rsidRPr="00ED2385" w:rsidRDefault="00ED2385" w:rsidP="00ED2385">
      <w:pPr>
        <w:spacing w:line="383" w:lineRule="atLeast"/>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            www.ebookcentral-proquest-com.library.capella.edu </w:t>
      </w:r>
    </w:p>
    <w:p w14:paraId="7DC58099" w14:textId="77777777" w:rsidR="00ED2385" w:rsidRPr="00ED2385" w:rsidRDefault="00ED2385" w:rsidP="00ED2385">
      <w:pPr>
        <w:spacing w:line="383" w:lineRule="atLeast"/>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Valdez, R. (2017).  Nursing research series part 10.  Retrieved from www.media.capella.edu</w:t>
      </w:r>
    </w:p>
    <w:p w14:paraId="1CE36FBC" w14:textId="77777777" w:rsidR="00ED2385" w:rsidRPr="00ED2385" w:rsidRDefault="00ED2385" w:rsidP="00ED2385">
      <w:pPr>
        <w:spacing w:line="383" w:lineRule="atLeast"/>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 </w:t>
      </w:r>
    </w:p>
    <w:p w14:paraId="5C424667" w14:textId="77777777" w:rsidR="00ED2385" w:rsidRPr="00ED2385" w:rsidRDefault="00ED2385" w:rsidP="00ED2385">
      <w:pPr>
        <w:spacing w:line="383" w:lineRule="atLeast"/>
        <w:ind w:firstLine="720"/>
        <w:rPr>
          <w:rFonts w:ascii="Avenir LT W02 55 Roman" w:hAnsi="Avenir LT W02 55 Roman" w:cs="Times New Roman"/>
          <w:color w:val="222222"/>
          <w:sz w:val="26"/>
          <w:szCs w:val="26"/>
        </w:rPr>
      </w:pPr>
      <w:r w:rsidRPr="00ED2385">
        <w:rPr>
          <w:rFonts w:ascii="Times New Roman" w:hAnsi="Times New Roman" w:cs="Times New Roman"/>
          <w:color w:val="222222"/>
          <w:bdr w:val="none" w:sz="0" w:space="0" w:color="auto" w:frame="1"/>
        </w:rPr>
        <w:t> </w:t>
      </w:r>
    </w:p>
    <w:p w14:paraId="7593C5B7" w14:textId="77777777" w:rsidR="00ED2385" w:rsidRPr="00ED2385" w:rsidRDefault="00ED2385" w:rsidP="00ED2385">
      <w:pPr>
        <w:rPr>
          <w:rFonts w:ascii="Times New Roman" w:eastAsia="Times New Roman" w:hAnsi="Times New Roman" w:cs="Times New Roman"/>
        </w:rPr>
      </w:pPr>
    </w:p>
    <w:p w14:paraId="0F70F5BD" w14:textId="77777777" w:rsidR="00ED2385" w:rsidRDefault="00ED2385"/>
    <w:sectPr w:rsidR="00ED2385" w:rsidSect="0040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LT W01 65 Medium">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LT W02 55 Roman">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BA"/>
    <w:rsid w:val="00405325"/>
    <w:rsid w:val="008044BA"/>
    <w:rsid w:val="00E034D9"/>
    <w:rsid w:val="00ED2385"/>
    <w:rsid w:val="00FE66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73A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E66D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66D1"/>
    <w:rPr>
      <w:rFonts w:ascii="Times New Roman" w:hAnsi="Times New Roman" w:cs="Times New Roman"/>
      <w:b/>
      <w:bCs/>
    </w:rPr>
  </w:style>
  <w:style w:type="paragraph" w:styleId="NormalWeb">
    <w:name w:val="Normal (Web)"/>
    <w:basedOn w:val="Normal"/>
    <w:uiPriority w:val="99"/>
    <w:semiHidden/>
    <w:unhideWhenUsed/>
    <w:rsid w:val="00FE66D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66D1"/>
  </w:style>
  <w:style w:type="character" w:styleId="Hyperlink">
    <w:name w:val="Hyperlink"/>
    <w:basedOn w:val="DefaultParagraphFont"/>
    <w:uiPriority w:val="99"/>
    <w:semiHidden/>
    <w:unhideWhenUsed/>
    <w:rsid w:val="00ED2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6997">
      <w:bodyDiv w:val="1"/>
      <w:marLeft w:val="0"/>
      <w:marRight w:val="0"/>
      <w:marTop w:val="0"/>
      <w:marBottom w:val="0"/>
      <w:divBdr>
        <w:top w:val="none" w:sz="0" w:space="0" w:color="auto"/>
        <w:left w:val="none" w:sz="0" w:space="0" w:color="auto"/>
        <w:bottom w:val="none" w:sz="0" w:space="0" w:color="auto"/>
        <w:right w:val="none" w:sz="0" w:space="0" w:color="auto"/>
      </w:divBdr>
    </w:div>
    <w:div w:id="691339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urrentnursing.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2445</Characters>
  <Application>Microsoft Macintosh Word</Application>
  <DocSecurity>0</DocSecurity>
  <Lines>49</Lines>
  <Paragraphs>10</Paragraphs>
  <ScaleCrop>false</ScaleCrop>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Woods</dc:creator>
  <cp:keywords/>
  <dc:description/>
  <cp:lastModifiedBy>Neil Woods</cp:lastModifiedBy>
  <cp:revision>3</cp:revision>
  <dcterms:created xsi:type="dcterms:W3CDTF">2017-09-20T12:27:00Z</dcterms:created>
  <dcterms:modified xsi:type="dcterms:W3CDTF">2017-10-30T00:52:00Z</dcterms:modified>
</cp:coreProperties>
</file>